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D51F2C">
        <w:rPr>
          <w:b/>
          <w:sz w:val="28"/>
          <w:szCs w:val="28"/>
        </w:rPr>
        <w:t>18</w:t>
      </w:r>
      <w:r w:rsidR="00A72CC2">
        <w:rPr>
          <w:b/>
          <w:sz w:val="28"/>
          <w:szCs w:val="28"/>
        </w:rPr>
        <w:t xml:space="preserve"> </w:t>
      </w:r>
      <w:r w:rsidR="004A358D">
        <w:rPr>
          <w:b/>
          <w:sz w:val="28"/>
          <w:szCs w:val="28"/>
        </w:rPr>
        <w:t>августа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384A5C" w:rsidRPr="00FE6B3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4A358D">
        <w:rPr>
          <w:sz w:val="28"/>
          <w:szCs w:val="28"/>
        </w:rPr>
        <w:t>23 264,9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3</w:t>
      </w:r>
      <w:r w:rsidR="004A358D">
        <w:rPr>
          <w:sz w:val="28"/>
          <w:szCs w:val="28"/>
        </w:rPr>
        <w:t> 732,3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4A358D">
        <w:rPr>
          <w:sz w:val="28"/>
          <w:szCs w:val="28"/>
        </w:rPr>
        <w:t>24 479,4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4</w:t>
      </w:r>
      <w:r w:rsidR="004A358D">
        <w:rPr>
          <w:sz w:val="28"/>
          <w:szCs w:val="28"/>
        </w:rPr>
        <w:t> 946,8</w:t>
      </w:r>
      <w:r w:rsidRPr="00FE6B3C">
        <w:rPr>
          <w:sz w:val="28"/>
          <w:szCs w:val="28"/>
        </w:rPr>
        <w:t>»;</w:t>
      </w:r>
    </w:p>
    <w:p w:rsidR="00A237A4" w:rsidRDefault="004A358D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199" w:type="dxa"/>
        <w:tblInd w:w="-459" w:type="dxa"/>
        <w:tblLook w:val="04A0"/>
      </w:tblPr>
      <w:tblGrid>
        <w:gridCol w:w="3119"/>
        <w:gridCol w:w="4252"/>
        <w:gridCol w:w="1276"/>
        <w:gridCol w:w="1276"/>
        <w:gridCol w:w="1276"/>
      </w:tblGrid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2023 г.</w:t>
            </w:r>
          </w:p>
        </w:tc>
      </w:tr>
      <w:tr w:rsidR="002D72B9" w:rsidRPr="002D72B9" w:rsidTr="002D72B9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</w:tr>
      <w:tr w:rsidR="002D72B9" w:rsidRPr="002D72B9" w:rsidTr="002D72B9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3 099,1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2 029,9</w:t>
            </w:r>
          </w:p>
        </w:tc>
      </w:tr>
      <w:tr w:rsidR="002D72B9" w:rsidRPr="002D72B9" w:rsidTr="002D72B9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2 956,2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1 879,7</w:t>
            </w:r>
          </w:p>
        </w:tc>
      </w:tr>
      <w:tr w:rsidR="002D72B9" w:rsidRPr="002D72B9" w:rsidTr="002D72B9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:rsidTr="002D72B9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:rsidTr="002D72B9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:rsidTr="002D72B9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:rsidTr="002D72B9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:rsidTr="002D72B9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1 073,5</w:t>
            </w:r>
          </w:p>
        </w:tc>
      </w:tr>
      <w:tr w:rsidR="002D72B9" w:rsidRPr="002D72B9" w:rsidTr="002D72B9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107,7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107,7</w:t>
            </w:r>
          </w:p>
        </w:tc>
      </w:tr>
      <w:tr w:rsidR="002D72B9" w:rsidRPr="002D72B9" w:rsidTr="002D72B9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</w:tr>
      <w:tr w:rsidR="002D72B9" w:rsidRPr="002D72B9" w:rsidTr="002D72B9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</w:tr>
      <w:tr w:rsidR="002D72B9" w:rsidRPr="002D72B9" w:rsidTr="002D72B9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</w:tr>
      <w:tr w:rsidR="002D72B9" w:rsidRPr="002D72B9" w:rsidTr="002D72B9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:rsidTr="002D72B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150,2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2D72B9">
              <w:rPr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:rsidTr="002D72B9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:rsidTr="002D72B9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6 235,7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2D72B9">
              <w:rPr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6 235,7</w:t>
            </w:r>
          </w:p>
        </w:tc>
      </w:tr>
      <w:tr w:rsidR="002D72B9" w:rsidRPr="002D72B9" w:rsidTr="002D72B9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2 02 16001 00 0000 150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100,8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100,6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100,6</w:t>
            </w:r>
          </w:p>
        </w:tc>
      </w:tr>
      <w:tr w:rsidR="002D72B9" w:rsidRPr="002D72B9" w:rsidTr="002D72B9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:rsidTr="002D72B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8 265,6</w:t>
            </w:r>
            <w:r w:rsidR="00F25361">
              <w:rPr>
                <w:sz w:val="28"/>
                <w:szCs w:val="28"/>
              </w:rPr>
              <w:t>»;</w:t>
            </w:r>
          </w:p>
        </w:tc>
      </w:tr>
    </w:tbl>
    <w:p w:rsidR="00A237A4" w:rsidRDefault="004A358D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/>
      </w:tblPr>
      <w:tblGrid>
        <w:gridCol w:w="3164"/>
        <w:gridCol w:w="3514"/>
        <w:gridCol w:w="1417"/>
        <w:gridCol w:w="1418"/>
        <w:gridCol w:w="1134"/>
      </w:tblGrid>
      <w:tr w:rsidR="004F1D2F" w:rsidRPr="000C46DE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E75DC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2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2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B9462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76BCB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416CE7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6A6C40" w:rsidRDefault="000A58A8" w:rsidP="00416C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6A6C40" w:rsidRDefault="00147A27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A27" w:rsidRPr="006A6C40" w:rsidRDefault="00147A2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:rsidTr="004A358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0C46DE" w:rsidRDefault="00147A27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4F1D2F" w:rsidRPr="000C46DE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76BCB" w:rsidP="00833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F1D2F" w:rsidRDefault="004F1D2F" w:rsidP="004F1D2F"/>
    <w:p w:rsidR="00765C51" w:rsidRDefault="000F7204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4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бюджетных ассигнованийпо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</w:t>
            </w:r>
            <w:r w:rsidRPr="00147A27">
              <w:rPr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147A2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</w:t>
            </w:r>
            <w:r w:rsidRPr="00147A27">
              <w:rPr>
                <w:color w:val="000000"/>
                <w:sz w:val="28"/>
                <w:szCs w:val="28"/>
              </w:rPr>
              <w:lastRenderedPageBreak/>
              <w:t>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13 842,1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13 842,1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  <w:r w:rsidR="00DE5219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E7262" w:rsidRDefault="000E726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0F720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E5219" w:rsidRPr="00DE5219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0F7204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2" w:name="_GoBack"/>
      <w:bookmarkEnd w:id="2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B72089" w:rsidRPr="00B72089" w:rsidTr="00B72089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1 073,3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B72089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B72089" w:rsidRPr="00B72089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408,3</w:t>
            </w:r>
            <w:r w:rsidR="004A358D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B0A01" w:rsidRDefault="008B0A01" w:rsidP="004A358D">
      <w:pPr>
        <w:tabs>
          <w:tab w:val="left" w:pos="720"/>
          <w:tab w:val="left" w:pos="1920"/>
        </w:tabs>
        <w:rPr>
          <w:sz w:val="28"/>
          <w:szCs w:val="28"/>
        </w:rPr>
      </w:pPr>
    </w:p>
    <w:p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957E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(А.В.Викленко).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О.А.Белянская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D51F2C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1F2C">
        <w:rPr>
          <w:sz w:val="28"/>
          <w:szCs w:val="28"/>
        </w:rPr>
        <w:t xml:space="preserve">18 </w:t>
      </w:r>
      <w:r w:rsidR="004A358D">
        <w:rPr>
          <w:sz w:val="28"/>
          <w:szCs w:val="28"/>
        </w:rPr>
        <w:t>августа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F3" w:rsidRDefault="00CA3DF3" w:rsidP="00162DCD">
      <w:r>
        <w:separator/>
      </w:r>
    </w:p>
  </w:endnote>
  <w:endnote w:type="continuationSeparator" w:id="0">
    <w:p w:rsidR="00CA3DF3" w:rsidRDefault="00CA3DF3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F3" w:rsidRDefault="00CA3DF3" w:rsidP="00162DCD">
      <w:r>
        <w:separator/>
      </w:r>
    </w:p>
  </w:footnote>
  <w:footnote w:type="continuationSeparator" w:id="0">
    <w:p w:rsidR="00CA3DF3" w:rsidRDefault="00CA3DF3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549D"/>
    <w:rsid w:val="000E56B4"/>
    <w:rsid w:val="000E7262"/>
    <w:rsid w:val="000F098A"/>
    <w:rsid w:val="000F277A"/>
    <w:rsid w:val="000F3C1D"/>
    <w:rsid w:val="000F7204"/>
    <w:rsid w:val="0010042E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5F67"/>
    <w:rsid w:val="003A6C66"/>
    <w:rsid w:val="003B3E3A"/>
    <w:rsid w:val="003B4DDD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10631"/>
    <w:rsid w:val="004141EA"/>
    <w:rsid w:val="00414E9C"/>
    <w:rsid w:val="0041615C"/>
    <w:rsid w:val="004163BA"/>
    <w:rsid w:val="00416CE7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270F"/>
    <w:rsid w:val="00493219"/>
    <w:rsid w:val="004957F5"/>
    <w:rsid w:val="004A1E45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2F49"/>
    <w:rsid w:val="00946FC8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333B4"/>
    <w:rsid w:val="00A34B51"/>
    <w:rsid w:val="00A353F4"/>
    <w:rsid w:val="00A3637A"/>
    <w:rsid w:val="00A4186E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20AFC"/>
    <w:rsid w:val="00B20C60"/>
    <w:rsid w:val="00B21B78"/>
    <w:rsid w:val="00B24AFF"/>
    <w:rsid w:val="00B266BD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3DF3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E738-C72B-4686-82D6-47FA3EBB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11947</Words>
  <Characters>68101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2020-08-27T13:31:00Z</cp:lastPrinted>
  <dcterms:created xsi:type="dcterms:W3CDTF">2021-08-18T11:13:00Z</dcterms:created>
  <dcterms:modified xsi:type="dcterms:W3CDTF">2021-08-18T11:13:00Z</dcterms:modified>
</cp:coreProperties>
</file>